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1F9E" w:rsidRDefault="004A7A08">
      <w:pPr>
        <w:pStyle w:val="normal0"/>
        <w:spacing w:after="0"/>
        <w:ind w:left="72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LEAF Paragraph Organizer</w:t>
      </w:r>
    </w:p>
    <w:p w:rsidR="004E1F9E" w:rsidRDefault="004A7A08">
      <w:pPr>
        <w:pStyle w:val="normal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Topic: You are responsible for analyzing how the main character is a “survivor.” Please select three pieces of relevant evidence that show how the character persevered in the face of adversity. </w:t>
      </w: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Lead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Evidence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Analysis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Evidence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Analysis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Evidence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Analysis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  <w:tr w:rsidR="004E1F9E">
        <w:tc>
          <w:tcPr>
            <w:tcW w:w="8856" w:type="dxa"/>
          </w:tcPr>
          <w:p w:rsidR="004E1F9E" w:rsidRDefault="004A7A08">
            <w:pPr>
              <w:pStyle w:val="normal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Finisher </w:t>
            </w: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line="276" w:lineRule="auto"/>
            </w:pPr>
          </w:p>
          <w:p w:rsidR="004E1F9E" w:rsidRDefault="004E1F9E">
            <w:pPr>
              <w:pStyle w:val="normal0"/>
              <w:spacing w:after="200" w:line="276" w:lineRule="auto"/>
            </w:pPr>
          </w:p>
        </w:tc>
      </w:tr>
    </w:tbl>
    <w:p w:rsidR="004E1F9E" w:rsidRDefault="004E1F9E">
      <w:pPr>
        <w:pStyle w:val="normal0"/>
      </w:pPr>
    </w:p>
    <w:p w:rsidR="004E1F9E" w:rsidRDefault="004E1F9E">
      <w:pPr>
        <w:pStyle w:val="normal0"/>
      </w:pPr>
    </w:p>
    <w:sectPr w:rsidR="004E1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1F9E"/>
    <w:rsid w:val="004A7A08"/>
    <w:rsid w:val="004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Macintosh Word</Application>
  <DocSecurity>0</DocSecurity>
  <Lines>2</Lines>
  <Paragraphs>1</Paragraphs>
  <ScaleCrop>false</ScaleCrop>
  <Company>Washington Northeast Supervisory Union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2016-10-11T19:11:00Z</dcterms:created>
  <dcterms:modified xsi:type="dcterms:W3CDTF">2016-10-11T19:11:00Z</dcterms:modified>
</cp:coreProperties>
</file>